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3C" w:rsidRPr="00FF3067" w:rsidRDefault="00FE43EB" w:rsidP="00FF3067">
      <w:pPr>
        <w:jc w:val="center"/>
        <w:rPr>
          <w:rFonts w:ascii="Arial" w:hAnsi="Arial" w:cs="Arial"/>
          <w:b/>
          <w:sz w:val="32"/>
        </w:rPr>
      </w:pPr>
      <w:r>
        <w:rPr>
          <w:rFonts w:ascii="Arial" w:hAnsi="Arial" w:cs="Arial"/>
          <w:b/>
          <w:sz w:val="32"/>
        </w:rPr>
        <w:t>Appendix 2</w:t>
      </w:r>
      <w:r w:rsidR="00FF3067" w:rsidRPr="00FF3067">
        <w:rPr>
          <w:rFonts w:ascii="Arial" w:hAnsi="Arial" w:cs="Arial"/>
          <w:b/>
          <w:sz w:val="32"/>
        </w:rPr>
        <w:t xml:space="preserve"> – Number of Reports by Committee/Panel at Different TOPICC scores</w:t>
      </w:r>
    </w:p>
    <w:p w:rsidR="00FF3067" w:rsidRPr="00FF3067" w:rsidRDefault="00FF3067">
      <w:pPr>
        <w:rPr>
          <w:rFonts w:ascii="Arial" w:hAnsi="Arial" w:cs="Arial"/>
        </w:rPr>
      </w:pPr>
    </w:p>
    <w:p w:rsidR="00FF3067" w:rsidRPr="00FF3067" w:rsidRDefault="00FF3067">
      <w:pPr>
        <w:rPr>
          <w:rFonts w:ascii="Arial" w:hAnsi="Arial" w:cs="Arial"/>
        </w:rPr>
      </w:pPr>
      <w:r w:rsidRPr="00FF3067">
        <w:rPr>
          <w:rFonts w:ascii="Arial" w:hAnsi="Arial" w:cs="Arial"/>
        </w:rPr>
        <w:t>The following table provides the suggested list of reports in TOPICC-score order, from highest to lowest. It shows which reports would be accepted, and the number of reports going to the Scrutiny Committee, the Finance and Performance Panel and the Housing Panel if different TOPICC thresholds were to be applied.</w:t>
      </w:r>
    </w:p>
    <w:tbl>
      <w:tblPr>
        <w:tblStyle w:val="TableGrid"/>
        <w:tblW w:w="0" w:type="auto"/>
        <w:tblLook w:val="04A0" w:firstRow="1" w:lastRow="0" w:firstColumn="1" w:lastColumn="0" w:noHBand="0" w:noVBand="1"/>
      </w:tblPr>
      <w:tblGrid>
        <w:gridCol w:w="1128"/>
        <w:gridCol w:w="2128"/>
        <w:gridCol w:w="1811"/>
        <w:gridCol w:w="940"/>
        <w:gridCol w:w="1017"/>
        <w:gridCol w:w="976"/>
        <w:gridCol w:w="1016"/>
      </w:tblGrid>
      <w:tr w:rsidR="00FF3067" w:rsidRPr="00FF3067" w:rsidTr="00FF3067">
        <w:trPr>
          <w:trHeight w:val="560"/>
          <w:tblHeader/>
        </w:trPr>
        <w:tc>
          <w:tcPr>
            <w:tcW w:w="1128"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TOPICC threshold</w:t>
            </w:r>
          </w:p>
        </w:tc>
        <w:tc>
          <w:tcPr>
            <w:tcW w:w="2128"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Item</w:t>
            </w:r>
          </w:p>
        </w:tc>
        <w:tc>
          <w:tcPr>
            <w:tcW w:w="1811"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Suggested Outcome</w:t>
            </w:r>
          </w:p>
        </w:tc>
        <w:tc>
          <w:tcPr>
            <w:tcW w:w="940"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Total reports</w:t>
            </w:r>
          </w:p>
        </w:tc>
        <w:tc>
          <w:tcPr>
            <w:tcW w:w="1017"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Scrutiny reports</w:t>
            </w:r>
          </w:p>
        </w:tc>
        <w:tc>
          <w:tcPr>
            <w:tcW w:w="976"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Finance reports</w:t>
            </w:r>
          </w:p>
        </w:tc>
        <w:tc>
          <w:tcPr>
            <w:tcW w:w="1016" w:type="dxa"/>
            <w:shd w:val="clear" w:color="auto" w:fill="F2F2F2" w:themeFill="background1" w:themeFillShade="F2"/>
            <w:hideMark/>
          </w:tcPr>
          <w:p w:rsidR="00FF3067" w:rsidRPr="00FF3067" w:rsidRDefault="00FF3067" w:rsidP="00FF3067">
            <w:pPr>
              <w:rPr>
                <w:rFonts w:ascii="Arial" w:hAnsi="Arial" w:cs="Arial"/>
                <w:b/>
                <w:bCs/>
                <w:sz w:val="20"/>
              </w:rPr>
            </w:pPr>
            <w:r w:rsidRPr="00FF3067">
              <w:rPr>
                <w:rFonts w:ascii="Arial" w:hAnsi="Arial" w:cs="Arial"/>
                <w:b/>
                <w:bCs/>
                <w:sz w:val="20"/>
              </w:rPr>
              <w:t>Housing  reports</w:t>
            </w:r>
          </w:p>
        </w:tc>
      </w:tr>
      <w:tr w:rsidR="00FF3067" w:rsidRPr="00FF3067" w:rsidTr="00414F1A">
        <w:trPr>
          <w:trHeight w:val="46"/>
        </w:trPr>
        <w:tc>
          <w:tcPr>
            <w:tcW w:w="1128" w:type="dxa"/>
            <w:hideMark/>
          </w:tcPr>
          <w:p w:rsidR="00FF3067" w:rsidRPr="00FF3067" w:rsidRDefault="00FF3067">
            <w:pPr>
              <w:rPr>
                <w:rFonts w:ascii="Arial" w:hAnsi="Arial" w:cs="Arial"/>
                <w:b/>
                <w:sz w:val="20"/>
              </w:rPr>
            </w:pPr>
            <w:r w:rsidRPr="00FF3067">
              <w:rPr>
                <w:rFonts w:ascii="Arial" w:hAnsi="Arial" w:cs="Arial"/>
                <w:b/>
                <w:sz w:val="20"/>
              </w:rPr>
              <w:t>10+</w:t>
            </w:r>
          </w:p>
        </w:tc>
        <w:tc>
          <w:tcPr>
            <w:tcW w:w="2128" w:type="dxa"/>
            <w:hideMark/>
          </w:tcPr>
          <w:p w:rsidR="00FF3067" w:rsidRPr="00FF3067" w:rsidRDefault="00FF3067">
            <w:pPr>
              <w:rPr>
                <w:rFonts w:ascii="Arial" w:hAnsi="Arial" w:cs="Arial"/>
                <w:sz w:val="20"/>
              </w:rPr>
            </w:pPr>
            <w:r w:rsidRPr="00FF3067">
              <w:rPr>
                <w:rFonts w:ascii="Arial" w:hAnsi="Arial" w:cs="Arial"/>
                <w:sz w:val="20"/>
              </w:rPr>
              <w:t>26. Integrated Performance Reports</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Finance and Performance Panel</w:t>
            </w:r>
          </w:p>
        </w:tc>
        <w:tc>
          <w:tcPr>
            <w:tcW w:w="940" w:type="dxa"/>
            <w:hideMark/>
          </w:tcPr>
          <w:p w:rsidR="00FF3067" w:rsidRPr="00FF3067" w:rsidRDefault="00FF3067" w:rsidP="00FF3067">
            <w:pPr>
              <w:jc w:val="center"/>
              <w:rPr>
                <w:rFonts w:ascii="Arial" w:hAnsi="Arial" w:cs="Arial"/>
                <w:sz w:val="20"/>
              </w:rPr>
            </w:pPr>
            <w:r w:rsidRPr="00FF3067">
              <w:rPr>
                <w:rFonts w:ascii="Arial" w:hAnsi="Arial" w:cs="Arial"/>
                <w:sz w:val="20"/>
              </w:rPr>
              <w:t>18</w:t>
            </w:r>
          </w:p>
        </w:tc>
        <w:tc>
          <w:tcPr>
            <w:tcW w:w="1017" w:type="dxa"/>
            <w:hideMark/>
          </w:tcPr>
          <w:p w:rsidR="00FF3067" w:rsidRPr="00FF3067" w:rsidRDefault="00FF3067" w:rsidP="00FF3067">
            <w:pPr>
              <w:jc w:val="center"/>
              <w:rPr>
                <w:rFonts w:ascii="Arial" w:hAnsi="Arial" w:cs="Arial"/>
                <w:sz w:val="20"/>
              </w:rPr>
            </w:pPr>
            <w:r w:rsidRPr="00FF3067">
              <w:rPr>
                <w:rFonts w:ascii="Arial" w:hAnsi="Arial" w:cs="Arial"/>
                <w:sz w:val="20"/>
              </w:rPr>
              <w:t>7</w:t>
            </w:r>
          </w:p>
        </w:tc>
        <w:tc>
          <w:tcPr>
            <w:tcW w:w="976" w:type="dxa"/>
            <w:hideMark/>
          </w:tcPr>
          <w:p w:rsidR="00FF3067" w:rsidRPr="00FF3067" w:rsidRDefault="00FF3067" w:rsidP="00FF3067">
            <w:pPr>
              <w:jc w:val="center"/>
              <w:rPr>
                <w:rFonts w:ascii="Arial" w:hAnsi="Arial" w:cs="Arial"/>
                <w:sz w:val="20"/>
              </w:rPr>
            </w:pPr>
            <w:r w:rsidRPr="00FF3067">
              <w:rPr>
                <w:rFonts w:ascii="Arial" w:hAnsi="Arial" w:cs="Arial"/>
                <w:sz w:val="20"/>
              </w:rPr>
              <w:t>8</w:t>
            </w:r>
          </w:p>
        </w:tc>
        <w:tc>
          <w:tcPr>
            <w:tcW w:w="1016" w:type="dxa"/>
            <w:hideMark/>
          </w:tcPr>
          <w:p w:rsidR="00FF3067" w:rsidRPr="00FF3067" w:rsidRDefault="00FF3067" w:rsidP="00FF3067">
            <w:pPr>
              <w:jc w:val="center"/>
              <w:rPr>
                <w:rFonts w:ascii="Arial" w:hAnsi="Arial" w:cs="Arial"/>
                <w:sz w:val="20"/>
              </w:rPr>
            </w:pPr>
            <w:r w:rsidRPr="00FF3067">
              <w:rPr>
                <w:rFonts w:ascii="Arial" w:hAnsi="Arial" w:cs="Arial"/>
                <w:sz w:val="20"/>
              </w:rPr>
              <w:t>3</w:t>
            </w:r>
          </w:p>
        </w:tc>
      </w:tr>
      <w:tr w:rsidR="00FF3067" w:rsidRPr="00FF3067" w:rsidTr="00FF3067">
        <w:trPr>
          <w:trHeight w:val="840"/>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9.     East Oxford Community Centre Scheme</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46"/>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21.  Budget 2020/21</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Finance and Performance Panel</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FF3067">
        <w:trPr>
          <w:trHeight w:val="280"/>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1.     Zero Emission Zone</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FF3067">
        <w:trPr>
          <w:trHeight w:val="560"/>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 xml:space="preserve">14.     </w:t>
            </w:r>
            <w:proofErr w:type="spellStart"/>
            <w:r w:rsidRPr="00FF3067">
              <w:rPr>
                <w:rFonts w:ascii="Arial" w:hAnsi="Arial" w:cs="Arial"/>
                <w:sz w:val="20"/>
              </w:rPr>
              <w:t>Oxpens</w:t>
            </w:r>
            <w:proofErr w:type="spellEnd"/>
            <w:r w:rsidRPr="00FF3067">
              <w:rPr>
                <w:rFonts w:ascii="Arial" w:hAnsi="Arial" w:cs="Arial"/>
                <w:sz w:val="20"/>
              </w:rPr>
              <w:t xml:space="preserve"> Redevelopment Update</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1137"/>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 xml:space="preserve">15.     Council engagement with Oxford’s diverse communities / Equalities Strategy </w:t>
            </w:r>
          </w:p>
        </w:tc>
        <w:tc>
          <w:tcPr>
            <w:tcW w:w="1811" w:type="dxa"/>
            <w:hideMark/>
          </w:tcPr>
          <w:p w:rsidR="00FF3067" w:rsidRPr="00FF3067" w:rsidRDefault="00FF3067">
            <w:pPr>
              <w:rPr>
                <w:rFonts w:ascii="Arial" w:hAnsi="Arial" w:cs="Arial"/>
                <w:sz w:val="20"/>
              </w:rPr>
            </w:pPr>
            <w:r w:rsidRPr="00FF3067">
              <w:rPr>
                <w:rFonts w:ascii="Arial" w:hAnsi="Arial" w:cs="Arial"/>
                <w:sz w:val="20"/>
              </w:rPr>
              <w:t>Include within Review Group scope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719"/>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 xml:space="preserve">22.  Treasury </w:t>
            </w:r>
            <w:proofErr w:type="spellStart"/>
            <w:r w:rsidRPr="00FF3067">
              <w:rPr>
                <w:rFonts w:ascii="Arial" w:hAnsi="Arial" w:cs="Arial"/>
                <w:sz w:val="20"/>
              </w:rPr>
              <w:t>Mid Year</w:t>
            </w:r>
            <w:proofErr w:type="spellEnd"/>
            <w:r w:rsidRPr="00FF3067">
              <w:rPr>
                <w:rFonts w:ascii="Arial" w:hAnsi="Arial" w:cs="Arial"/>
                <w:sz w:val="20"/>
              </w:rPr>
              <w:t xml:space="preserve"> performance</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Finance and Performance Panel</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716"/>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23.  Capital Strategy 2021/22</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Finance and Performance Panel</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856"/>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41. Floyds Row update</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Housing and Homelessness Panel</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1000"/>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42. Housing Performance</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Housing and Homelessness Panel</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FF3067">
        <w:trPr>
          <w:trHeight w:val="840"/>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4.     Public participation in decision making and citizen involvement</w:t>
            </w:r>
          </w:p>
        </w:tc>
        <w:tc>
          <w:tcPr>
            <w:tcW w:w="1811" w:type="dxa"/>
            <w:hideMark/>
          </w:tcPr>
          <w:p w:rsidR="00FF3067" w:rsidRPr="00FF3067" w:rsidRDefault="00FF3067">
            <w:pPr>
              <w:rPr>
                <w:rFonts w:ascii="Arial" w:hAnsi="Arial" w:cs="Arial"/>
                <w:sz w:val="20"/>
              </w:rPr>
            </w:pPr>
            <w:r w:rsidRPr="00FF3067">
              <w:rPr>
                <w:rFonts w:ascii="Arial" w:hAnsi="Arial" w:cs="Arial"/>
                <w:sz w:val="20"/>
              </w:rPr>
              <w:t>Review Group topic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414F1A">
        <w:trPr>
          <w:trHeight w:val="840"/>
        </w:trPr>
        <w:tc>
          <w:tcPr>
            <w:tcW w:w="1128" w:type="dxa"/>
          </w:tcPr>
          <w:p w:rsidR="00FF3067" w:rsidRPr="00FF3067" w:rsidRDefault="00FF3067">
            <w:pPr>
              <w:rPr>
                <w:rFonts w:ascii="Arial" w:hAnsi="Arial" w:cs="Arial"/>
                <w:b/>
                <w:sz w:val="20"/>
              </w:rPr>
            </w:pPr>
          </w:p>
        </w:tc>
        <w:tc>
          <w:tcPr>
            <w:tcW w:w="2128" w:type="dxa"/>
            <w:hideMark/>
          </w:tcPr>
          <w:p w:rsidR="00FF3067" w:rsidRPr="00FF3067" w:rsidRDefault="00FF3067">
            <w:pPr>
              <w:rPr>
                <w:rFonts w:ascii="Arial" w:hAnsi="Arial" w:cs="Arial"/>
                <w:sz w:val="20"/>
              </w:rPr>
            </w:pPr>
            <w:r w:rsidRPr="00FF3067">
              <w:rPr>
                <w:rFonts w:ascii="Arial" w:hAnsi="Arial" w:cs="Arial"/>
                <w:sz w:val="20"/>
              </w:rPr>
              <w:t>5.     Grant Allocations to Community and Voluntary Orgs 2021/22</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FF3067" w:rsidRPr="00FF3067" w:rsidTr="00FF3067">
        <w:trPr>
          <w:trHeight w:val="560"/>
        </w:trPr>
        <w:tc>
          <w:tcPr>
            <w:tcW w:w="1128" w:type="dxa"/>
            <w:hideMark/>
          </w:tcPr>
          <w:p w:rsidR="00FF3067" w:rsidRPr="00FF3067" w:rsidRDefault="00FF3067">
            <w:pPr>
              <w:rPr>
                <w:rFonts w:ascii="Arial" w:hAnsi="Arial" w:cs="Arial"/>
                <w:sz w:val="20"/>
              </w:rPr>
            </w:pPr>
            <w:r w:rsidRPr="00FF3067">
              <w:rPr>
                <w:rFonts w:ascii="Arial" w:hAnsi="Arial" w:cs="Arial"/>
                <w:sz w:val="20"/>
              </w:rPr>
              <w:t> </w:t>
            </w:r>
          </w:p>
        </w:tc>
        <w:tc>
          <w:tcPr>
            <w:tcW w:w="2128" w:type="dxa"/>
            <w:hideMark/>
          </w:tcPr>
          <w:p w:rsidR="00FF3067" w:rsidRPr="00FF3067" w:rsidRDefault="00FF3067">
            <w:pPr>
              <w:rPr>
                <w:rFonts w:ascii="Arial" w:hAnsi="Arial" w:cs="Arial"/>
                <w:sz w:val="20"/>
              </w:rPr>
            </w:pPr>
            <w:r w:rsidRPr="00FF3067">
              <w:rPr>
                <w:rFonts w:ascii="Arial" w:hAnsi="Arial" w:cs="Arial"/>
                <w:sz w:val="20"/>
              </w:rPr>
              <w:t xml:space="preserve">11.     Sustainability Strategy </w:t>
            </w:r>
          </w:p>
        </w:tc>
        <w:tc>
          <w:tcPr>
            <w:tcW w:w="1811" w:type="dxa"/>
            <w:hideMark/>
          </w:tcPr>
          <w:p w:rsidR="00FF3067" w:rsidRPr="00FF3067" w:rsidRDefault="00FF3067">
            <w:pPr>
              <w:rPr>
                <w:rFonts w:ascii="Arial" w:hAnsi="Arial" w:cs="Arial"/>
                <w:sz w:val="20"/>
              </w:rPr>
            </w:pPr>
            <w:r w:rsidRPr="00FF3067">
              <w:rPr>
                <w:rFonts w:ascii="Arial" w:hAnsi="Arial" w:cs="Arial"/>
                <w:sz w:val="20"/>
              </w:rPr>
              <w:t>Refer to Scrutiny</w:t>
            </w:r>
          </w:p>
        </w:tc>
        <w:tc>
          <w:tcPr>
            <w:tcW w:w="940" w:type="dxa"/>
            <w:hideMark/>
          </w:tcPr>
          <w:p w:rsidR="00FF3067" w:rsidRPr="00FF3067" w:rsidRDefault="00FF3067" w:rsidP="00FF3067">
            <w:pPr>
              <w:jc w:val="center"/>
              <w:rPr>
                <w:rFonts w:ascii="Arial" w:hAnsi="Arial" w:cs="Arial"/>
                <w:sz w:val="20"/>
              </w:rPr>
            </w:pPr>
          </w:p>
        </w:tc>
        <w:tc>
          <w:tcPr>
            <w:tcW w:w="1017" w:type="dxa"/>
            <w:hideMark/>
          </w:tcPr>
          <w:p w:rsidR="00FF3067" w:rsidRPr="00FF3067" w:rsidRDefault="00FF3067" w:rsidP="00FF3067">
            <w:pPr>
              <w:jc w:val="center"/>
              <w:rPr>
                <w:rFonts w:ascii="Arial" w:hAnsi="Arial" w:cs="Arial"/>
                <w:sz w:val="20"/>
              </w:rPr>
            </w:pPr>
          </w:p>
        </w:tc>
        <w:tc>
          <w:tcPr>
            <w:tcW w:w="976" w:type="dxa"/>
            <w:hideMark/>
          </w:tcPr>
          <w:p w:rsidR="00FF3067" w:rsidRPr="00FF3067" w:rsidRDefault="00FF3067" w:rsidP="00FF3067">
            <w:pPr>
              <w:jc w:val="center"/>
              <w:rPr>
                <w:rFonts w:ascii="Arial" w:hAnsi="Arial" w:cs="Arial"/>
                <w:sz w:val="20"/>
              </w:rPr>
            </w:pPr>
          </w:p>
        </w:tc>
        <w:tc>
          <w:tcPr>
            <w:tcW w:w="1016" w:type="dxa"/>
            <w:hideMark/>
          </w:tcPr>
          <w:p w:rsidR="00FF3067" w:rsidRPr="00FF3067" w:rsidRDefault="00FF3067" w:rsidP="00FF3067">
            <w:pPr>
              <w:jc w:val="center"/>
              <w:rPr>
                <w:rFonts w:ascii="Arial" w:hAnsi="Arial" w:cs="Arial"/>
                <w:sz w:val="20"/>
              </w:rPr>
            </w:pPr>
          </w:p>
        </w:tc>
      </w:tr>
      <w:tr w:rsidR="00414F1A" w:rsidRPr="00FF3067" w:rsidTr="00414F1A">
        <w:trPr>
          <w:trHeight w:val="660"/>
        </w:trPr>
        <w:tc>
          <w:tcPr>
            <w:tcW w:w="1128" w:type="dxa"/>
            <w:hideMark/>
          </w:tcPr>
          <w:p w:rsidR="00414F1A" w:rsidRPr="00FF3067" w:rsidRDefault="00414F1A" w:rsidP="00414F1A">
            <w:pPr>
              <w:rPr>
                <w:rFonts w:ascii="Arial" w:hAnsi="Arial" w:cs="Arial"/>
                <w:b/>
                <w:sz w:val="20"/>
              </w:rPr>
            </w:pPr>
            <w:r w:rsidRPr="00FF3067">
              <w:rPr>
                <w:rFonts w:ascii="Arial" w:hAnsi="Arial" w:cs="Arial"/>
                <w:sz w:val="20"/>
              </w:rPr>
              <w:lastRenderedPageBreak/>
              <w:t> </w:t>
            </w:r>
            <w:r w:rsidRPr="00FF3067">
              <w:rPr>
                <w:rFonts w:ascii="Arial" w:hAnsi="Arial" w:cs="Arial"/>
                <w:b/>
                <w:sz w:val="20"/>
              </w:rPr>
              <w:t>10+</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24.  Treasury Management Strategy 2021/22</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659"/>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25.  Monitoring social value</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67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28.  Council performance (4 items)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655"/>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30. Infrastructure Funding Statement</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95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32. Additional HMO Licensing</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70"/>
        </w:trPr>
        <w:tc>
          <w:tcPr>
            <w:tcW w:w="1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1811"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940"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7"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976"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6" w:type="dxa"/>
            <w:shd w:val="clear" w:color="auto" w:fill="AEAAAA" w:themeFill="background2" w:themeFillShade="BF"/>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b/>
                <w:sz w:val="20"/>
              </w:rPr>
            </w:pPr>
            <w:r w:rsidRPr="00FF3067">
              <w:rPr>
                <w:rFonts w:ascii="Arial" w:hAnsi="Arial" w:cs="Arial"/>
                <w:b/>
                <w:sz w:val="20"/>
              </w:rPr>
              <w:t>9+</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2.     Apprentices and NEETs.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r w:rsidRPr="00FF3067">
              <w:rPr>
                <w:rFonts w:ascii="Arial" w:hAnsi="Arial" w:cs="Arial"/>
                <w:sz w:val="20"/>
              </w:rPr>
              <w:t>32</w:t>
            </w:r>
          </w:p>
        </w:tc>
        <w:tc>
          <w:tcPr>
            <w:tcW w:w="1017" w:type="dxa"/>
            <w:hideMark/>
          </w:tcPr>
          <w:p w:rsidR="00414F1A" w:rsidRPr="00FF3067" w:rsidRDefault="00414F1A" w:rsidP="00414F1A">
            <w:pPr>
              <w:jc w:val="center"/>
              <w:rPr>
                <w:rFonts w:ascii="Arial" w:hAnsi="Arial" w:cs="Arial"/>
                <w:sz w:val="20"/>
              </w:rPr>
            </w:pPr>
            <w:r w:rsidRPr="00FF3067">
              <w:rPr>
                <w:rFonts w:ascii="Arial" w:hAnsi="Arial" w:cs="Arial"/>
                <w:sz w:val="20"/>
              </w:rPr>
              <w:t>14</w:t>
            </w:r>
          </w:p>
        </w:tc>
        <w:tc>
          <w:tcPr>
            <w:tcW w:w="976" w:type="dxa"/>
            <w:hideMark/>
          </w:tcPr>
          <w:p w:rsidR="00414F1A" w:rsidRPr="00FF3067" w:rsidRDefault="00414F1A" w:rsidP="00414F1A">
            <w:pPr>
              <w:jc w:val="center"/>
              <w:rPr>
                <w:rFonts w:ascii="Arial" w:hAnsi="Arial" w:cs="Arial"/>
                <w:sz w:val="20"/>
              </w:rPr>
            </w:pPr>
            <w:r w:rsidRPr="00FF3067">
              <w:rPr>
                <w:rFonts w:ascii="Arial" w:hAnsi="Arial" w:cs="Arial"/>
                <w:sz w:val="20"/>
              </w:rPr>
              <w:t>11</w:t>
            </w:r>
          </w:p>
        </w:tc>
        <w:tc>
          <w:tcPr>
            <w:tcW w:w="1016" w:type="dxa"/>
            <w:hideMark/>
          </w:tcPr>
          <w:p w:rsidR="00414F1A" w:rsidRPr="00FF3067" w:rsidRDefault="00414F1A" w:rsidP="00414F1A">
            <w:pPr>
              <w:jc w:val="center"/>
              <w:rPr>
                <w:rFonts w:ascii="Arial" w:hAnsi="Arial" w:cs="Arial"/>
                <w:sz w:val="20"/>
              </w:rPr>
            </w:pPr>
            <w:r w:rsidRPr="00FF3067">
              <w:rPr>
                <w:rFonts w:ascii="Arial" w:hAnsi="Arial" w:cs="Arial"/>
                <w:sz w:val="20"/>
              </w:rPr>
              <w:t>7</w:t>
            </w: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     Domestic Violence</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Review Group topic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7.     Air Quality Annual Status Report</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8.     Workplace Equalities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704"/>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12.    Annual Update on the Council Business Plan</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84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13.     Fusion Lifestyle performance  report</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27.  Council Tax Support Scheme</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991"/>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33. Update of Housing Assistance and Disabled Adaptions Policy</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34. Safeguarding Report 2020/21</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977"/>
        </w:trPr>
        <w:tc>
          <w:tcPr>
            <w:tcW w:w="1128" w:type="dxa"/>
          </w:tcPr>
          <w:p w:rsidR="00414F1A" w:rsidRPr="00FF3067" w:rsidRDefault="00414F1A" w:rsidP="00414F1A">
            <w:pPr>
              <w:rPr>
                <w:rFonts w:ascii="Arial" w:hAnsi="Arial" w:cs="Arial"/>
                <w:b/>
                <w:sz w:val="20"/>
              </w:rPr>
            </w:pP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35. Allocation of Homelessness Prevention Funds 2021/22</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978"/>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36. Capitalisation of energy efficiency measures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98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37. Retrofitting Plans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b/>
                <w:sz w:val="20"/>
              </w:rPr>
            </w:pPr>
            <w:r w:rsidRPr="00FF3067">
              <w:rPr>
                <w:rFonts w:ascii="Arial" w:hAnsi="Arial" w:cs="Arial"/>
                <w:b/>
                <w:sz w:val="20"/>
              </w:rPr>
              <w:lastRenderedPageBreak/>
              <w:t>9+</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38. Zero Carbon Building Pilot report</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692"/>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39. Council Borrowing Options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100"/>
        </w:trPr>
        <w:tc>
          <w:tcPr>
            <w:tcW w:w="1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1811"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940"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7"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976"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6" w:type="dxa"/>
            <w:shd w:val="clear" w:color="auto" w:fill="AEAAAA" w:themeFill="background2" w:themeFillShade="BF"/>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b/>
                <w:sz w:val="20"/>
              </w:rPr>
            </w:pPr>
            <w:r w:rsidRPr="00FF3067">
              <w:rPr>
                <w:rFonts w:ascii="Arial" w:hAnsi="Arial" w:cs="Arial"/>
                <w:b/>
                <w:sz w:val="20"/>
              </w:rPr>
              <w:t>8+</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10.     Acceptable Behaviours Consultation</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r w:rsidRPr="00FF3067">
              <w:rPr>
                <w:rFonts w:ascii="Arial" w:hAnsi="Arial" w:cs="Arial"/>
                <w:sz w:val="20"/>
              </w:rPr>
              <w:t>38</w:t>
            </w:r>
          </w:p>
        </w:tc>
        <w:tc>
          <w:tcPr>
            <w:tcW w:w="1017" w:type="dxa"/>
            <w:hideMark/>
          </w:tcPr>
          <w:p w:rsidR="00414F1A" w:rsidRPr="00FF3067" w:rsidRDefault="00414F1A" w:rsidP="00414F1A">
            <w:pPr>
              <w:jc w:val="center"/>
              <w:rPr>
                <w:rFonts w:ascii="Arial" w:hAnsi="Arial" w:cs="Arial"/>
                <w:sz w:val="20"/>
              </w:rPr>
            </w:pPr>
            <w:r w:rsidRPr="00FF3067">
              <w:rPr>
                <w:rFonts w:ascii="Arial" w:hAnsi="Arial" w:cs="Arial"/>
                <w:sz w:val="20"/>
              </w:rPr>
              <w:t>18</w:t>
            </w:r>
          </w:p>
        </w:tc>
        <w:tc>
          <w:tcPr>
            <w:tcW w:w="976" w:type="dxa"/>
            <w:hideMark/>
          </w:tcPr>
          <w:p w:rsidR="00414F1A" w:rsidRPr="00FF3067" w:rsidRDefault="00414F1A" w:rsidP="00414F1A">
            <w:pPr>
              <w:jc w:val="center"/>
              <w:rPr>
                <w:rFonts w:ascii="Arial" w:hAnsi="Arial" w:cs="Arial"/>
                <w:sz w:val="20"/>
              </w:rPr>
            </w:pPr>
            <w:r w:rsidRPr="00FF3067">
              <w:rPr>
                <w:rFonts w:ascii="Arial" w:hAnsi="Arial" w:cs="Arial"/>
                <w:sz w:val="20"/>
              </w:rPr>
              <w:t>12</w:t>
            </w:r>
          </w:p>
        </w:tc>
        <w:tc>
          <w:tcPr>
            <w:tcW w:w="1016" w:type="dxa"/>
            <w:hideMark/>
          </w:tcPr>
          <w:p w:rsidR="00414F1A" w:rsidRPr="00FF3067" w:rsidRDefault="00414F1A" w:rsidP="00414F1A">
            <w:pPr>
              <w:jc w:val="center"/>
              <w:rPr>
                <w:rFonts w:ascii="Arial" w:hAnsi="Arial" w:cs="Arial"/>
                <w:sz w:val="20"/>
              </w:rPr>
            </w:pPr>
            <w:r w:rsidRPr="00FF3067">
              <w:rPr>
                <w:rFonts w:ascii="Arial" w:hAnsi="Arial" w:cs="Arial"/>
                <w:sz w:val="20"/>
              </w:rPr>
              <w:t>8</w:t>
            </w:r>
          </w:p>
        </w:tc>
      </w:tr>
      <w:tr w:rsidR="00414F1A" w:rsidRPr="00FF3067" w:rsidTr="00414F1A">
        <w:trPr>
          <w:trHeight w:val="746"/>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16.     Climate Emergency Review Group Update</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90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18.  Tenant Satisfaction</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414F1A">
        <w:trPr>
          <w:trHeight w:val="619"/>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20.  Budget Review 2019/20 recommendations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Finance and Performance Panel</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31. Annual Monitoring Statement</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560"/>
        </w:trPr>
        <w:tc>
          <w:tcPr>
            <w:tcW w:w="1128" w:type="dxa"/>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hideMark/>
          </w:tcPr>
          <w:p w:rsidR="00414F1A" w:rsidRPr="00FF3067" w:rsidRDefault="00414F1A" w:rsidP="00414F1A">
            <w:pPr>
              <w:rPr>
                <w:rFonts w:ascii="Arial" w:hAnsi="Arial" w:cs="Arial"/>
                <w:sz w:val="20"/>
              </w:rPr>
            </w:pPr>
            <w:r w:rsidRPr="00FF3067">
              <w:rPr>
                <w:rFonts w:ascii="Arial" w:hAnsi="Arial" w:cs="Arial"/>
                <w:sz w:val="20"/>
              </w:rPr>
              <w:t>43.     Oxford’s waterways</w:t>
            </w:r>
          </w:p>
        </w:tc>
        <w:tc>
          <w:tcPr>
            <w:tcW w:w="1811" w:type="dxa"/>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hideMark/>
          </w:tcPr>
          <w:p w:rsidR="00414F1A" w:rsidRPr="00FF3067" w:rsidRDefault="00414F1A" w:rsidP="00414F1A">
            <w:pPr>
              <w:jc w:val="center"/>
              <w:rPr>
                <w:rFonts w:ascii="Arial" w:hAnsi="Arial" w:cs="Arial"/>
                <w:sz w:val="20"/>
              </w:rPr>
            </w:pPr>
          </w:p>
        </w:tc>
        <w:tc>
          <w:tcPr>
            <w:tcW w:w="1017" w:type="dxa"/>
            <w:hideMark/>
          </w:tcPr>
          <w:p w:rsidR="00414F1A" w:rsidRPr="00FF3067" w:rsidRDefault="00414F1A" w:rsidP="00414F1A">
            <w:pPr>
              <w:jc w:val="center"/>
              <w:rPr>
                <w:rFonts w:ascii="Arial" w:hAnsi="Arial" w:cs="Arial"/>
                <w:sz w:val="20"/>
              </w:rPr>
            </w:pPr>
          </w:p>
        </w:tc>
        <w:tc>
          <w:tcPr>
            <w:tcW w:w="976" w:type="dxa"/>
            <w:hideMark/>
          </w:tcPr>
          <w:p w:rsidR="00414F1A" w:rsidRPr="00FF3067" w:rsidRDefault="00414F1A" w:rsidP="00414F1A">
            <w:pPr>
              <w:jc w:val="center"/>
              <w:rPr>
                <w:rFonts w:ascii="Arial" w:hAnsi="Arial" w:cs="Arial"/>
                <w:sz w:val="20"/>
              </w:rPr>
            </w:pPr>
          </w:p>
        </w:tc>
        <w:tc>
          <w:tcPr>
            <w:tcW w:w="1016" w:type="dxa"/>
            <w:hideMark/>
          </w:tcPr>
          <w:p w:rsidR="00414F1A" w:rsidRPr="00FF3067" w:rsidRDefault="00414F1A" w:rsidP="00414F1A">
            <w:pPr>
              <w:jc w:val="center"/>
              <w:rPr>
                <w:rFonts w:ascii="Arial" w:hAnsi="Arial" w:cs="Arial"/>
                <w:sz w:val="20"/>
              </w:rPr>
            </w:pPr>
          </w:p>
        </w:tc>
      </w:tr>
      <w:tr w:rsidR="00414F1A" w:rsidRPr="00FF3067" w:rsidTr="00FF3067">
        <w:trPr>
          <w:trHeight w:val="100"/>
        </w:trPr>
        <w:tc>
          <w:tcPr>
            <w:tcW w:w="1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1811"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940"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7"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976"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6" w:type="dxa"/>
            <w:shd w:val="clear" w:color="auto" w:fill="AEAAAA" w:themeFill="background2" w:themeFillShade="BF"/>
            <w:hideMark/>
          </w:tcPr>
          <w:p w:rsidR="00414F1A" w:rsidRPr="00FF3067" w:rsidRDefault="00414F1A" w:rsidP="00414F1A">
            <w:pPr>
              <w:jc w:val="center"/>
              <w:rPr>
                <w:rFonts w:ascii="Arial" w:hAnsi="Arial" w:cs="Arial"/>
                <w:sz w:val="20"/>
              </w:rPr>
            </w:pPr>
          </w:p>
        </w:tc>
      </w:tr>
      <w:tr w:rsidR="00414F1A" w:rsidRPr="00FF3067" w:rsidTr="00FE43EB">
        <w:trPr>
          <w:trHeight w:val="560"/>
        </w:trPr>
        <w:tc>
          <w:tcPr>
            <w:tcW w:w="1128" w:type="dxa"/>
            <w:shd w:val="clear" w:color="auto" w:fill="D9D9D9" w:themeFill="background1" w:themeFillShade="D9"/>
            <w:hideMark/>
          </w:tcPr>
          <w:p w:rsidR="00414F1A" w:rsidRPr="00FF3067" w:rsidRDefault="00414F1A" w:rsidP="00414F1A">
            <w:pPr>
              <w:rPr>
                <w:rFonts w:ascii="Arial" w:hAnsi="Arial" w:cs="Arial"/>
                <w:b/>
                <w:sz w:val="20"/>
              </w:rPr>
            </w:pPr>
            <w:r w:rsidRPr="00FF3067">
              <w:rPr>
                <w:rFonts w:ascii="Arial" w:hAnsi="Arial" w:cs="Arial"/>
                <w:b/>
                <w:sz w:val="20"/>
              </w:rPr>
              <w:t>7+</w:t>
            </w:r>
          </w:p>
        </w:tc>
        <w:tc>
          <w:tcPr>
            <w:tcW w:w="2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6.      Tourism Review Group update</w:t>
            </w:r>
          </w:p>
        </w:tc>
        <w:tc>
          <w:tcPr>
            <w:tcW w:w="1811"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40</w:t>
            </w:r>
          </w:p>
        </w:tc>
        <w:tc>
          <w:tcPr>
            <w:tcW w:w="1017"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20</w:t>
            </w:r>
          </w:p>
        </w:tc>
        <w:tc>
          <w:tcPr>
            <w:tcW w:w="976"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12</w:t>
            </w:r>
          </w:p>
        </w:tc>
        <w:tc>
          <w:tcPr>
            <w:tcW w:w="1016"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8</w:t>
            </w:r>
          </w:p>
        </w:tc>
      </w:tr>
      <w:tr w:rsidR="00414F1A" w:rsidRPr="00FF3067" w:rsidTr="00FE43EB">
        <w:trPr>
          <w:trHeight w:val="280"/>
        </w:trPr>
        <w:tc>
          <w:tcPr>
            <w:tcW w:w="1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19.  Zero Carbon Oxford</w:t>
            </w:r>
          </w:p>
        </w:tc>
        <w:tc>
          <w:tcPr>
            <w:tcW w:w="1811"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shd w:val="clear" w:color="auto" w:fill="D9D9D9" w:themeFill="background1" w:themeFillShade="D9"/>
            <w:hideMark/>
          </w:tcPr>
          <w:p w:rsidR="00414F1A" w:rsidRPr="00FF3067" w:rsidRDefault="00414F1A" w:rsidP="00414F1A">
            <w:pPr>
              <w:jc w:val="center"/>
              <w:rPr>
                <w:rFonts w:ascii="Arial" w:hAnsi="Arial" w:cs="Arial"/>
                <w:sz w:val="20"/>
              </w:rPr>
            </w:pPr>
          </w:p>
        </w:tc>
        <w:tc>
          <w:tcPr>
            <w:tcW w:w="1017" w:type="dxa"/>
            <w:shd w:val="clear" w:color="auto" w:fill="D9D9D9" w:themeFill="background1" w:themeFillShade="D9"/>
            <w:hideMark/>
          </w:tcPr>
          <w:p w:rsidR="00414F1A" w:rsidRPr="00FF3067" w:rsidRDefault="00414F1A" w:rsidP="00414F1A">
            <w:pPr>
              <w:jc w:val="center"/>
              <w:rPr>
                <w:rFonts w:ascii="Arial" w:hAnsi="Arial" w:cs="Arial"/>
                <w:sz w:val="20"/>
              </w:rPr>
            </w:pPr>
          </w:p>
        </w:tc>
        <w:tc>
          <w:tcPr>
            <w:tcW w:w="976" w:type="dxa"/>
            <w:shd w:val="clear" w:color="auto" w:fill="D9D9D9" w:themeFill="background1" w:themeFillShade="D9"/>
            <w:hideMark/>
          </w:tcPr>
          <w:p w:rsidR="00414F1A" w:rsidRPr="00FF3067" w:rsidRDefault="00414F1A" w:rsidP="00414F1A">
            <w:pPr>
              <w:jc w:val="center"/>
              <w:rPr>
                <w:rFonts w:ascii="Arial" w:hAnsi="Arial" w:cs="Arial"/>
                <w:sz w:val="20"/>
              </w:rPr>
            </w:pPr>
          </w:p>
        </w:tc>
        <w:tc>
          <w:tcPr>
            <w:tcW w:w="1016" w:type="dxa"/>
            <w:shd w:val="clear" w:color="auto" w:fill="D9D9D9" w:themeFill="background1" w:themeFillShade="D9"/>
            <w:hideMark/>
          </w:tcPr>
          <w:p w:rsidR="00414F1A" w:rsidRPr="00FF3067" w:rsidRDefault="00414F1A" w:rsidP="00414F1A">
            <w:pPr>
              <w:jc w:val="center"/>
              <w:rPr>
                <w:rFonts w:ascii="Arial" w:hAnsi="Arial" w:cs="Arial"/>
                <w:sz w:val="20"/>
              </w:rPr>
            </w:pPr>
          </w:p>
        </w:tc>
      </w:tr>
      <w:tr w:rsidR="00414F1A" w:rsidRPr="00FF3067" w:rsidTr="00FF3067">
        <w:trPr>
          <w:trHeight w:val="100"/>
        </w:trPr>
        <w:tc>
          <w:tcPr>
            <w:tcW w:w="1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1811" w:type="dxa"/>
            <w:shd w:val="clear" w:color="auto" w:fill="AEAAAA" w:themeFill="background2" w:themeFillShade="BF"/>
            <w:hideMark/>
          </w:tcPr>
          <w:p w:rsidR="00414F1A" w:rsidRPr="00FF3067" w:rsidRDefault="00414F1A" w:rsidP="00414F1A">
            <w:pPr>
              <w:rPr>
                <w:rFonts w:ascii="Arial" w:hAnsi="Arial" w:cs="Arial"/>
                <w:sz w:val="20"/>
              </w:rPr>
            </w:pPr>
            <w:r w:rsidRPr="00FF3067">
              <w:rPr>
                <w:rFonts w:ascii="Arial" w:hAnsi="Arial" w:cs="Arial"/>
                <w:sz w:val="20"/>
              </w:rPr>
              <w:t> </w:t>
            </w:r>
          </w:p>
        </w:tc>
        <w:tc>
          <w:tcPr>
            <w:tcW w:w="940"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7"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976" w:type="dxa"/>
            <w:shd w:val="clear" w:color="auto" w:fill="AEAAAA" w:themeFill="background2" w:themeFillShade="BF"/>
            <w:hideMark/>
          </w:tcPr>
          <w:p w:rsidR="00414F1A" w:rsidRPr="00FF3067" w:rsidRDefault="00414F1A" w:rsidP="00414F1A">
            <w:pPr>
              <w:jc w:val="center"/>
              <w:rPr>
                <w:rFonts w:ascii="Arial" w:hAnsi="Arial" w:cs="Arial"/>
                <w:sz w:val="20"/>
              </w:rPr>
            </w:pPr>
          </w:p>
        </w:tc>
        <w:tc>
          <w:tcPr>
            <w:tcW w:w="1016" w:type="dxa"/>
            <w:shd w:val="clear" w:color="auto" w:fill="AEAAAA" w:themeFill="background2" w:themeFillShade="BF"/>
            <w:hideMark/>
          </w:tcPr>
          <w:p w:rsidR="00414F1A" w:rsidRPr="00FF3067" w:rsidRDefault="00414F1A" w:rsidP="00414F1A">
            <w:pPr>
              <w:jc w:val="center"/>
              <w:rPr>
                <w:rFonts w:ascii="Arial" w:hAnsi="Arial" w:cs="Arial"/>
                <w:sz w:val="20"/>
              </w:rPr>
            </w:pPr>
          </w:p>
        </w:tc>
      </w:tr>
      <w:tr w:rsidR="00414F1A" w:rsidRPr="00FF3067" w:rsidTr="00FE43EB">
        <w:trPr>
          <w:trHeight w:val="940"/>
        </w:trPr>
        <w:tc>
          <w:tcPr>
            <w:tcW w:w="1128" w:type="dxa"/>
            <w:shd w:val="clear" w:color="auto" w:fill="D9D9D9" w:themeFill="background1" w:themeFillShade="D9"/>
            <w:hideMark/>
          </w:tcPr>
          <w:p w:rsidR="00414F1A" w:rsidRPr="00FF3067" w:rsidRDefault="00414F1A" w:rsidP="00414F1A">
            <w:pPr>
              <w:rPr>
                <w:rFonts w:ascii="Arial" w:hAnsi="Arial" w:cs="Arial"/>
                <w:b/>
                <w:sz w:val="20"/>
              </w:rPr>
            </w:pPr>
            <w:r w:rsidRPr="00FF3067">
              <w:rPr>
                <w:rFonts w:ascii="Arial" w:hAnsi="Arial" w:cs="Arial"/>
                <w:b/>
                <w:sz w:val="20"/>
              </w:rPr>
              <w:t>6+</w:t>
            </w:r>
          </w:p>
        </w:tc>
        <w:tc>
          <w:tcPr>
            <w:tcW w:w="2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17. Implications of Council Business Plan for Housing</w:t>
            </w:r>
          </w:p>
        </w:tc>
        <w:tc>
          <w:tcPr>
            <w:tcW w:w="1811"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43</w:t>
            </w:r>
          </w:p>
        </w:tc>
        <w:tc>
          <w:tcPr>
            <w:tcW w:w="1017"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21</w:t>
            </w:r>
          </w:p>
        </w:tc>
        <w:tc>
          <w:tcPr>
            <w:tcW w:w="976"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13</w:t>
            </w:r>
          </w:p>
        </w:tc>
        <w:tc>
          <w:tcPr>
            <w:tcW w:w="1016" w:type="dxa"/>
            <w:shd w:val="clear" w:color="auto" w:fill="D9D9D9" w:themeFill="background1" w:themeFillShade="D9"/>
            <w:hideMark/>
          </w:tcPr>
          <w:p w:rsidR="00414F1A" w:rsidRPr="00FF3067" w:rsidRDefault="00414F1A" w:rsidP="00414F1A">
            <w:pPr>
              <w:jc w:val="center"/>
              <w:rPr>
                <w:rFonts w:ascii="Arial" w:hAnsi="Arial" w:cs="Arial"/>
                <w:sz w:val="20"/>
              </w:rPr>
            </w:pPr>
            <w:r w:rsidRPr="00FF3067">
              <w:rPr>
                <w:rFonts w:ascii="Arial" w:hAnsi="Arial" w:cs="Arial"/>
                <w:sz w:val="20"/>
              </w:rPr>
              <w:t>9</w:t>
            </w:r>
          </w:p>
        </w:tc>
      </w:tr>
      <w:tr w:rsidR="00414F1A" w:rsidRPr="00FF3067" w:rsidTr="00FE43EB">
        <w:trPr>
          <w:trHeight w:val="560"/>
        </w:trPr>
        <w:tc>
          <w:tcPr>
            <w:tcW w:w="1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2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29, CIL Charging Schedule Review</w:t>
            </w:r>
          </w:p>
        </w:tc>
        <w:tc>
          <w:tcPr>
            <w:tcW w:w="1811"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Refer to Scrutiny</w:t>
            </w:r>
          </w:p>
        </w:tc>
        <w:tc>
          <w:tcPr>
            <w:tcW w:w="940"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1017"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976"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1016"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r>
      <w:tr w:rsidR="00414F1A" w:rsidRPr="00FF3067" w:rsidTr="00FE43EB">
        <w:trPr>
          <w:trHeight w:val="835"/>
        </w:trPr>
        <w:tc>
          <w:tcPr>
            <w:tcW w:w="1128" w:type="dxa"/>
            <w:shd w:val="clear" w:color="auto" w:fill="D9D9D9" w:themeFill="background1" w:themeFillShade="D9"/>
            <w:hideMark/>
          </w:tcPr>
          <w:p w:rsidR="00414F1A" w:rsidRPr="00FF3067" w:rsidRDefault="00414F1A" w:rsidP="00414F1A">
            <w:pPr>
              <w:rPr>
                <w:rFonts w:ascii="Arial" w:hAnsi="Arial" w:cs="Arial"/>
                <w:b/>
                <w:sz w:val="20"/>
              </w:rPr>
            </w:pPr>
          </w:p>
        </w:tc>
        <w:tc>
          <w:tcPr>
            <w:tcW w:w="2128"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40. Empty Properties in the Private Rented Sector</w:t>
            </w:r>
          </w:p>
        </w:tc>
        <w:tc>
          <w:tcPr>
            <w:tcW w:w="1811"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Refer to Housing and Homelessness Panel</w:t>
            </w:r>
          </w:p>
        </w:tc>
        <w:tc>
          <w:tcPr>
            <w:tcW w:w="940"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1017"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976"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c>
          <w:tcPr>
            <w:tcW w:w="1016" w:type="dxa"/>
            <w:shd w:val="clear" w:color="auto" w:fill="D9D9D9" w:themeFill="background1" w:themeFillShade="D9"/>
            <w:hideMark/>
          </w:tcPr>
          <w:p w:rsidR="00414F1A" w:rsidRPr="00FF3067" w:rsidRDefault="00414F1A" w:rsidP="00414F1A">
            <w:pPr>
              <w:rPr>
                <w:rFonts w:ascii="Arial" w:hAnsi="Arial" w:cs="Arial"/>
                <w:sz w:val="20"/>
              </w:rPr>
            </w:pPr>
            <w:r w:rsidRPr="00FF3067">
              <w:rPr>
                <w:rFonts w:ascii="Arial" w:hAnsi="Arial" w:cs="Arial"/>
                <w:sz w:val="20"/>
              </w:rPr>
              <w:t> </w:t>
            </w:r>
          </w:p>
        </w:tc>
      </w:tr>
    </w:tbl>
    <w:p w:rsidR="00FF3067" w:rsidRDefault="00FF3067"/>
    <w:p w:rsidR="00FE43EB" w:rsidRPr="00FE43EB" w:rsidRDefault="00FE43EB">
      <w:pPr>
        <w:rPr>
          <w:rFonts w:ascii="Arial" w:hAnsi="Arial" w:cs="Arial"/>
          <w:sz w:val="24"/>
        </w:rPr>
      </w:pPr>
      <w:r w:rsidRPr="00FE43EB">
        <w:rPr>
          <w:rFonts w:ascii="Arial" w:hAnsi="Arial" w:cs="Arial"/>
          <w:sz w:val="24"/>
        </w:rPr>
        <w:t>NB The recommendation of the report is that items scoring 7 and below are not included within the Scrutiny work plan.</w:t>
      </w:r>
      <w:bookmarkStart w:id="0" w:name="_GoBack"/>
      <w:bookmarkEnd w:id="0"/>
    </w:p>
    <w:sectPr w:rsidR="00FE43EB" w:rsidRPr="00FE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67"/>
    <w:rsid w:val="00414F1A"/>
    <w:rsid w:val="004B6E3C"/>
    <w:rsid w:val="00FE43EB"/>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046FC-F533-48DD-9269-AE40D002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422">
      <w:bodyDiv w:val="1"/>
      <w:marLeft w:val="0"/>
      <w:marRight w:val="0"/>
      <w:marTop w:val="0"/>
      <w:marBottom w:val="0"/>
      <w:divBdr>
        <w:top w:val="none" w:sz="0" w:space="0" w:color="auto"/>
        <w:left w:val="none" w:sz="0" w:space="0" w:color="auto"/>
        <w:bottom w:val="none" w:sz="0" w:space="0" w:color="auto"/>
        <w:right w:val="none" w:sz="0" w:space="0" w:color="auto"/>
      </w:divBdr>
    </w:div>
    <w:div w:id="2596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751667EA</Template>
  <TotalTime>61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2020-06-29T10:46:00Z</dcterms:created>
  <dcterms:modified xsi:type="dcterms:W3CDTF">2020-06-29T12:08:00Z</dcterms:modified>
</cp:coreProperties>
</file>